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bidi w:val="0"/>
        <w:ind w:hanging="0" w:start="0" w:end="0"/>
        <w:rPr>
          <w:rFonts w:ascii="Times New Roman" w:hAnsi="Times New Roman"/>
        </w:rPr>
      </w:pPr>
      <w:r>
        <w:rPr/>
        <w:drawing>
          <wp:inline distT="0" distB="0" distL="0" distR="0">
            <wp:extent cx="857250" cy="85725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857250" cy="857250"/>
                    </a:xfrm>
                    <a:prstGeom prst="rect">
                      <a:avLst/>
                    </a:prstGeom>
                    <a:noFill/>
                  </pic:spPr>
                </pic:pic>
              </a:graphicData>
            </a:graphic>
          </wp:inline>
        </w:drawing>
      </w:r>
      <w:r>
        <w:rPr>
          <w:rFonts w:ascii="Times New Roman" w:hAnsi="Times New Roman"/>
        </w:rPr>
        <w:tab/>
        <w:tab/>
        <w:t xml:space="preserve">                                                 </w:t>
      </w:r>
      <w:r>
        <w:rPr/>
        <w:drawing>
          <wp:inline distT="0" distB="0" distL="0" distR="0">
            <wp:extent cx="676275" cy="69151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676275" cy="691515"/>
                    </a:xfrm>
                    <a:prstGeom prst="rect">
                      <a:avLst/>
                    </a:prstGeom>
                    <a:noFill/>
                  </pic:spPr>
                </pic:pic>
              </a:graphicData>
            </a:graphic>
          </wp:inline>
        </w:drawing>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jc w:val="center"/>
        <w:rPr>
          <w:rFonts w:ascii="Times New Roman" w:hAnsi="Times New Roman"/>
          <w:b/>
          <w:bCs/>
        </w:rPr>
      </w:pPr>
      <w:r>
        <w:rPr>
          <w:rFonts w:ascii="Times New Roman" w:hAnsi="Times New Roman"/>
          <w:b/>
          <w:bCs/>
        </w:rPr>
        <w:t>Makerere University Research and Innovations Fund: Request for Applications (RFA)</w:t>
      </w:r>
    </w:p>
    <w:p>
      <w:pPr>
        <w:pStyle w:val="NoSpacing"/>
        <w:bidi w:val="0"/>
        <w:ind w:hanging="0" w:start="0" w:end="0"/>
        <w:jc w:val="center"/>
        <w:rPr>
          <w:rFonts w:ascii="Times New Roman" w:hAnsi="Times New Roman"/>
          <w:b/>
          <w:bCs/>
        </w:rPr>
      </w:pPr>
      <w:r>
        <w:rPr>
          <w:rFonts w:ascii="Times New Roman" w:hAnsi="Times New Roman"/>
          <w:b/>
          <w:bCs/>
        </w:rPr>
        <w:t>Supported by the Government of the Republic of Uganda</w:t>
      </w:r>
    </w:p>
    <w:p>
      <w:pPr>
        <w:pStyle w:val="NoSpacing"/>
        <w:bidi w:val="0"/>
        <w:ind w:hanging="0" w:start="0" w:end="0"/>
        <w:jc w:val="center"/>
        <w:rPr>
          <w:rFonts w:ascii="Times New Roman" w:hAnsi="Times New Roman"/>
          <w:b/>
          <w:bCs/>
        </w:rPr>
      </w:pPr>
      <w:r>
        <w:rPr>
          <w:rFonts w:ascii="Times New Roman" w:hAnsi="Times New Roman"/>
          <w:b/>
          <w:bCs/>
        </w:rPr>
      </w:r>
    </w:p>
    <w:p>
      <w:pPr>
        <w:pStyle w:val="NoSpacing"/>
        <w:bidi w:val="0"/>
        <w:ind w:hanging="0" w:start="0" w:end="0"/>
        <w:jc w:val="center"/>
        <w:rPr>
          <w:rFonts w:ascii="Times New Roman" w:hAnsi="Times New Roman"/>
          <w:b/>
          <w:bCs/>
        </w:rPr>
      </w:pPr>
      <w:r>
        <w:rPr>
          <w:rFonts w:ascii="Times New Roman" w:hAnsi="Times New Roman"/>
          <w:b/>
          <w:bCs/>
        </w:rPr>
        <w:t>Round 8, Track 3: High Impact College Level Grants</w:t>
      </w:r>
    </w:p>
    <w:p>
      <w:pPr>
        <w:pStyle w:val="NoSpacing"/>
        <w:bidi w:val="0"/>
        <w:ind w:hanging="0" w:start="0" w:end="0"/>
        <w:jc w:val="center"/>
        <w:rPr>
          <w:rFonts w:ascii="Times New Roman" w:hAnsi="Times New Roman"/>
          <w:b/>
          <w:bCs/>
        </w:rPr>
      </w:pPr>
      <w:r>
        <w:rPr>
          <w:rFonts w:ascii="Times New Roman" w:hAnsi="Times New Roman"/>
          <w:b/>
          <w:bCs/>
        </w:rPr>
      </w:r>
    </w:p>
    <w:p>
      <w:pPr>
        <w:pStyle w:val="NoSpacing"/>
        <w:bidi w:val="0"/>
        <w:ind w:hanging="0" w:start="0" w:end="0"/>
        <w:jc w:val="center"/>
        <w:rPr>
          <w:rFonts w:ascii="Times New Roman" w:hAnsi="Times New Roman"/>
          <w:b/>
          <w:bCs/>
        </w:rPr>
      </w:pPr>
      <w:r>
        <w:rPr>
          <w:rFonts w:ascii="Times New Roman" w:hAnsi="Times New Roman"/>
          <w:b/>
          <w:bCs/>
        </w:rPr>
        <w:t>Financial Year 2026/2027</w:t>
      </w:r>
    </w:p>
    <w:p>
      <w:pPr>
        <w:pStyle w:val="NoSpacing"/>
        <w:bidi w:val="0"/>
        <w:ind w:hanging="0" w:start="0" w:end="0"/>
        <w:rPr>
          <w:rFonts w:ascii="Times New Roman" w:hAnsi="Times New Roman"/>
          <w:b/>
          <w:bCs/>
        </w:rPr>
      </w:pPr>
      <w:r>
        <w:rPr>
          <w:rFonts w:ascii="Times New Roman" w:hAnsi="Times New Roman"/>
          <w:b/>
          <w:bCs/>
        </w:rPr>
        <w:t>___________________________________________________________________________</w:t>
      </w:r>
    </w:p>
    <w:p>
      <w:pPr>
        <w:pStyle w:val="NoSpacing"/>
        <w:bidi w:val="0"/>
        <w:ind w:hanging="0" w:start="0" w:end="0"/>
        <w:rPr>
          <w:rFonts w:ascii="Times New Roman" w:hAnsi="Times New Roman"/>
          <w:b/>
          <w:bCs/>
        </w:rPr>
      </w:pPr>
      <w:r>
        <w:rPr>
          <w:rFonts w:ascii="Times New Roman" w:hAnsi="Times New Roman"/>
          <w:b/>
          <w:bCs/>
        </w:rPr>
      </w:r>
    </w:p>
    <w:p>
      <w:pPr>
        <w:pStyle w:val="NoSpacing"/>
        <w:bidi w:val="0"/>
        <w:ind w:hanging="0" w:start="0" w:end="0"/>
        <w:rPr>
          <w:rFonts w:ascii="Times New Roman" w:hAnsi="Times New Roman"/>
          <w:b/>
          <w:bCs/>
        </w:rPr>
      </w:pPr>
      <w:r>
        <w:rPr>
          <w:rFonts w:ascii="Times New Roman" w:hAnsi="Times New Roman"/>
          <w:b/>
          <w:bCs/>
        </w:rPr>
        <w:t>SECTION A: BACKGROUND</w:t>
      </w:r>
    </w:p>
    <w:p>
      <w:pPr>
        <w:pStyle w:val="NoSpacing"/>
        <w:bidi w:val="0"/>
        <w:ind w:hanging="0" w:start="0" w:end="0"/>
        <w:rPr>
          <w:rFonts w:ascii="Times New Roman" w:hAnsi="Times New Roman"/>
          <w:b/>
          <w:bCs/>
        </w:rPr>
      </w:pPr>
      <w:r>
        <w:rPr>
          <w:rFonts w:ascii="Times New Roman" w:hAnsi="Times New Roman"/>
          <w:b/>
          <w:bCs/>
        </w:rPr>
        <w:t>A1. Funding opportunity description</w:t>
      </w:r>
    </w:p>
    <w:p>
      <w:pPr>
        <w:pStyle w:val="NoSpacing"/>
        <w:bidi w:val="0"/>
        <w:ind w:hanging="0" w:start="0" w:end="0"/>
        <w:rPr>
          <w:rFonts w:ascii="Times New Roman" w:hAnsi="Times New Roman"/>
        </w:rPr>
      </w:pPr>
      <w:r>
        <w:rPr>
          <w:rFonts w:ascii="Times New Roman" w:hAnsi="Times New Roman"/>
        </w:rPr>
        <w:t>Makerere University receives funding from the Government of the Republic of Uganda, to support high impact Research and Innovations that contribute to national transformation. The Financial Year 2026/27 will be the eighth year of this fund’s availability. The fund illustrates the increasing importance that the Government attaches to Research and Innovation as a driver of socio-economic transformation. The objective of the fund is to increase the local generation of translatable research and scalable innovations that address key gaps required to drive Uganda’s development agenda. The fund is therefore aimed at complementing available funding to address unfunded priorities critical to accelerating Uganda’s development. Over the last seven Financial Years, government appropriated approximately 165.5 Billion Uganda Shillings. Between the seven years, MakRIF has funded over 1,450 projects across all sectors critical for development, of which 783 (54%) have been completed. During the current Financial Year (2026/27), Makerere University expects to receive about 20 Billion Uganda shillings (�US$ 6.8 million) under the Government Research and Innovation Fund (RIF). Of this, at least one (1) billion shillings will fund highly transformative College Level grants that respond to Uganda’s development agenda, especially the need to transform the country from a US$ 50 billion to a US$ 500 billion economy by 2040. The Makerere University Research and Innovation Grants Management Committee (GMC) therefore announces the RIF Round 8, Track 3, College Level Transformative Grants call. This grant will fund College Level identified ideas that have a direct linkage to a clearly demonstrable high impact outcome of national interest. Initial funding will be for one year but with the potential to be extended if the idea clearly shows high impact.</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A2. Research for Economic Development</w:t>
      </w:r>
    </w:p>
    <w:p>
      <w:pPr>
        <w:pStyle w:val="NoSpacing"/>
        <w:bidi w:val="0"/>
        <w:ind w:hanging="0" w:start="0" w:end="0"/>
        <w:rPr>
          <w:rFonts w:ascii="Times New Roman" w:hAnsi="Times New Roman"/>
        </w:rPr>
      </w:pPr>
      <w:r>
        <w:rPr>
          <w:rFonts w:ascii="Times New Roman" w:hAnsi="Times New Roman"/>
        </w:rPr>
        <w:t>To transition to middle-income status, low-income countries must increasingly invest in research and innovations that provide solutions to persistent development challenges. Universities should be at the forefront of driving this research agenda. The Government of Uganda is currently implementing the 4</w:t>
      </w:r>
      <w:r>
        <w:rPr>
          <w:rFonts w:ascii="Times New Roman" w:hAnsi="Times New Roman"/>
          <w:vertAlign w:val="superscript"/>
        </w:rPr>
        <w:t>th</w:t>
      </w:r>
      <w:r>
        <w:rPr>
          <w:rFonts w:ascii="Times New Roman" w:hAnsi="Times New Roman"/>
        </w:rPr>
        <w:t xml:space="preserve"> National Development Plan (NDP) (2025/26 – 2030/31). However, the NDP and sector-specific plans require research to fill evidence gaps. The main objective of the RIF is to support R&amp;I initiatives that contribute to better delivery of National Development initiatives in all sectors critical to the economy.</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B. SPECIFICATIONS OF THE GRANT</w:t>
      </w:r>
    </w:p>
    <w:p>
      <w:pPr>
        <w:pStyle w:val="NoSpacing"/>
        <w:bidi w:val="0"/>
        <w:ind w:hanging="0" w:start="0" w:end="0"/>
        <w:rPr>
          <w:rFonts w:ascii="Times New Roman" w:hAnsi="Times New Roman"/>
          <w:b/>
          <w:bCs/>
        </w:rPr>
      </w:pPr>
      <w:r>
        <w:rPr>
          <w:rFonts w:ascii="Times New Roman" w:hAnsi="Times New Roman"/>
          <w:b/>
          <w:bCs/>
        </w:rPr>
        <w:t>B1. Justification for this grant category</w:t>
      </w:r>
    </w:p>
    <w:p>
      <w:pPr>
        <w:pStyle w:val="NoSpacing"/>
        <w:bidi w:val="0"/>
        <w:ind w:hanging="0" w:start="0" w:end="0"/>
        <w:rPr>
          <w:rFonts w:ascii="Times New Roman" w:hAnsi="Times New Roman"/>
        </w:rPr>
      </w:pPr>
      <w:r>
        <w:rPr>
          <w:rFonts w:ascii="Times New Roman" w:hAnsi="Times New Roman"/>
        </w:rPr>
        <w:t>Universities are expected to be leaders in generation of knowledge, skills, products and concepts that drive a country’s development. Many stakeholders are closely watching Makerere University to see which ideas can emerge from the university, in form of products, service delivery models or interventions, that will have a highly visible transformative impact both on communities and at the national level, befitting of the status of Makerere University as a leader in innovations and capacity building for national transformation. The stakes are high: If the Government of Uganda’s initial vision for availing this fund is to be demonstrated, we have to step up on generating high-impact projects that directly move the economy or society in a transformative way. There is a need to identify and support projects with a national character, and with highly translatable impacts. The MakRIF GMC thinks that Colleges have a central leadership role to play in this domain.</w:t>
      </w:r>
    </w:p>
    <w:p>
      <w:pPr>
        <w:pStyle w:val="NoSpacing"/>
        <w:bidi w:val="0"/>
        <w:ind w:hanging="0" w:start="0" w:end="0"/>
        <w:rPr>
          <w:rFonts w:ascii="Times New Roman" w:hAnsi="Times New Roman"/>
          <w:b/>
          <w:bCs/>
        </w:rPr>
      </w:pPr>
      <w:r>
        <w:rPr>
          <w:rFonts w:ascii="Times New Roman" w:hAnsi="Times New Roman"/>
          <w:b/>
          <w:bCs/>
        </w:rPr>
      </w:r>
    </w:p>
    <w:p>
      <w:pPr>
        <w:pStyle w:val="NoSpacing"/>
        <w:bidi w:val="0"/>
        <w:ind w:hanging="0" w:start="0" w:end="0"/>
        <w:rPr>
          <w:rFonts w:ascii="Times New Roman" w:hAnsi="Times New Roman"/>
          <w:b/>
          <w:bCs/>
        </w:rPr>
      </w:pPr>
      <w:r>
        <w:rPr>
          <w:rFonts w:ascii="Times New Roman" w:hAnsi="Times New Roman"/>
          <w:b/>
          <w:bCs/>
        </w:rPr>
        <w:t>B2. Scope and technical description of the grant</w:t>
      </w:r>
    </w:p>
    <w:p>
      <w:pPr>
        <w:pStyle w:val="NoSpacing"/>
        <w:bidi w:val="0"/>
        <w:ind w:hanging="0" w:start="0" w:end="0"/>
        <w:rPr>
          <w:rFonts w:ascii="Times New Roman" w:hAnsi="Times New Roman"/>
        </w:rPr>
      </w:pPr>
      <w:r>
        <w:rPr>
          <w:rFonts w:ascii="Times New Roman" w:hAnsi="Times New Roman"/>
        </w:rPr>
        <w:t xml:space="preserve">The College Level grants must identify a priority national issue of importance, related to the NDP 4, the Vision 2040 and the ATMS priorities (Agro-industrialization, Tourism development, Manufacturing, and Science-Technology-Innovation) to contribute to </w:t>
      </w:r>
      <w:r>
        <w:rPr>
          <w:rFonts w:ascii="Times New Roman" w:hAnsi="Times New Roman"/>
          <w:lang w:val="en-GB"/>
        </w:rPr>
        <w:t>Uganda's Tenfold Growth Strategy aimed at expanding the national GDP from $50 billion to $500 billion. Ideas can be submitted in any of the following thematic areas:</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Agricultural Transformation, Food Security and Livelihoods</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Transforming the agricultural sector to drive development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Health and Well-being</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Achieving Sustainable Health as a means to sustainable development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 xml:space="preserve">Science and Technology </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Re-imagining Education to unlock capacity for economic development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Harnessing Information and Communication Technology to drive development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Natural Resources, Environment, Climate Change, land and Water Management</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Water, sanitation and the environment: A pre-requisite to sustainable development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Energy and Minerals as drivers of rapid economic development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Cultural Heritage and Creative Arts</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Harnessing the social sector, culture and arts to drive development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Harnessing tourism, wildlife and heritage to drive development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Governance, Social Justice and Equity</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Strengthening law, governance, human rights and international cooperation as pre-requisites for development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Achieving sustainable peace and stability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Leveraging public service and local administration for efficient services </w:t>
      </w:r>
      <w:r>
        <w:rPr>
          <w:rFonts w:ascii="Times New Roman" w:hAnsi="Times New Roman"/>
          <w:color w:val="3333FF"/>
          <w:highlight w:val="yellow"/>
        </w:rPr>
        <w:t>(See more�.)</w:t>
      </w:r>
    </w:p>
    <w:p>
      <w:pPr>
        <w:pStyle w:val="NoSpacing"/>
        <w:numPr>
          <w:ilvl w:val="0"/>
          <w:numId w:val="1"/>
        </w:numPr>
        <w:bidi w:val="0"/>
        <w:ind w:hanging="360" w:start="720" w:end="0"/>
        <w:rPr>
          <w:rFonts w:ascii="Times New Roman" w:hAnsi="Times New Roman"/>
          <w:bCs/>
          <w:highlight w:val="yellow"/>
        </w:rPr>
      </w:pPr>
      <w:r>
        <w:rPr>
          <w:rFonts w:ascii="Times New Roman" w:hAnsi="Times New Roman"/>
          <w:bCs/>
          <w:highlight w:val="yellow"/>
        </w:rPr>
        <w:t>Economic Growth and Innovation</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Solutions to catalyze business and enterprise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Sustainable Planning, finance and monitoring as catalysts for growth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highlight w:val="yellow"/>
        </w:rPr>
      </w:pPr>
      <w:r>
        <w:rPr>
          <w:rFonts w:ascii="Times New Roman" w:hAnsi="Times New Roman"/>
          <w:highlight w:val="yellow"/>
        </w:rPr>
        <w:t xml:space="preserve">Works, manufacturing, science and technology as tools to accelerate development </w:t>
      </w:r>
      <w:r>
        <w:rPr>
          <w:rFonts w:ascii="Times New Roman" w:hAnsi="Times New Roman"/>
          <w:color w:val="3333FF"/>
          <w:highlight w:val="yellow"/>
        </w:rPr>
        <w:t>(See more�.)</w:t>
      </w:r>
    </w:p>
    <w:p>
      <w:pPr>
        <w:pStyle w:val="NoSpacing"/>
        <w:numPr>
          <w:ilvl w:val="1"/>
          <w:numId w:val="1"/>
        </w:numPr>
        <w:bidi w:val="0"/>
        <w:ind w:hanging="360" w:start="1440" w:end="0"/>
        <w:rPr>
          <w:rFonts w:ascii="Times New Roman" w:hAnsi="Times New Roman"/>
          <w:color w:val="0000CC"/>
        </w:rPr>
      </w:pPr>
      <w:r>
        <w:rPr>
          <w:rFonts w:ascii="Times New Roman" w:hAnsi="Times New Roman"/>
          <w:highlight w:val="yellow"/>
        </w:rPr>
        <w:t xml:space="preserve">Scaling and commercialization </w:t>
      </w:r>
      <w:r>
        <w:rPr>
          <w:rFonts w:ascii="Times New Roman" w:hAnsi="Times New Roman"/>
          <w:color w:val="3333FF"/>
          <w:highlight w:val="yellow"/>
        </w:rPr>
        <w:t>(See more�.)</w:t>
      </w:r>
      <w:r>
        <w:rPr>
          <w:rFonts w:ascii="Times New Roman" w:hAnsi="Times New Roman"/>
          <w:color w:val="3333FF"/>
        </w:rPr>
        <w:t>.</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B3. Nature of the solution expected</w:t>
      </w:r>
    </w:p>
    <w:p>
      <w:pPr>
        <w:pStyle w:val="NoSpacing"/>
        <w:bidi w:val="0"/>
        <w:ind w:hanging="0" w:start="0" w:end="0"/>
        <w:rPr>
          <w:rFonts w:ascii="Times New Roman" w:hAnsi="Times New Roman"/>
        </w:rPr>
      </w:pPr>
      <w:r>
        <w:rPr>
          <w:rFonts w:ascii="Times New Roman" w:hAnsi="Times New Roman"/>
        </w:rPr>
        <w:t xml:space="preserve">The College-Led Transformative Projects Initiative will contribute to a short-term upturn in high impact projects with strong visibility and national character, coming from Makerere University. The GMC therefore calls upon Colleges to identify and co-create an idea with high socio-economic dividends that will be supported to transition to scale by the MakRIF College level grant. </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Characteristics of transformative projects</w:t>
      </w:r>
    </w:p>
    <w:p>
      <w:pPr>
        <w:pStyle w:val="NoSpacing"/>
        <w:numPr>
          <w:ilvl w:val="0"/>
          <w:numId w:val="2"/>
        </w:numPr>
        <w:bidi w:val="0"/>
        <w:ind w:hanging="360" w:start="720" w:end="0"/>
        <w:rPr>
          <w:rFonts w:ascii="Times New Roman" w:hAnsi="Times New Roman"/>
        </w:rPr>
      </w:pPr>
      <w:r>
        <w:rPr>
          <w:rFonts w:ascii="Times New Roman" w:hAnsi="Times New Roman"/>
        </w:rPr>
        <w:t>Speaks to an issue of high national importance/A critical development issue or need</w:t>
      </w:r>
    </w:p>
    <w:p>
      <w:pPr>
        <w:pStyle w:val="NoSpacing"/>
        <w:numPr>
          <w:ilvl w:val="0"/>
          <w:numId w:val="2"/>
        </w:numPr>
        <w:bidi w:val="0"/>
        <w:ind w:hanging="360" w:start="720" w:end="0"/>
        <w:rPr>
          <w:rFonts w:ascii="Times New Roman" w:hAnsi="Times New Roman"/>
        </w:rPr>
      </w:pPr>
      <w:r>
        <w:rPr>
          <w:rFonts w:ascii="Times New Roman" w:hAnsi="Times New Roman"/>
        </w:rPr>
        <w:t>Have a prominent output and outcome (product or service delivery model) that is tangible and highly effective in transforming the economy and/or communities</w:t>
      </w:r>
    </w:p>
    <w:p>
      <w:pPr>
        <w:pStyle w:val="NoSpacing"/>
        <w:numPr>
          <w:ilvl w:val="0"/>
          <w:numId w:val="2"/>
        </w:numPr>
        <w:bidi w:val="0"/>
        <w:ind w:hanging="360" w:start="720" w:end="0"/>
        <w:rPr>
          <w:rFonts w:ascii="Times New Roman" w:hAnsi="Times New Roman"/>
        </w:rPr>
      </w:pPr>
      <w:r>
        <w:rPr>
          <w:rFonts w:ascii="Times New Roman" w:hAnsi="Times New Roman"/>
        </w:rPr>
        <w:t>High visibility potential to stakeholders at national, district and/or community level</w:t>
      </w:r>
    </w:p>
    <w:p>
      <w:pPr>
        <w:pStyle w:val="NoSpacing"/>
        <w:numPr>
          <w:ilvl w:val="0"/>
          <w:numId w:val="2"/>
        </w:numPr>
        <w:bidi w:val="0"/>
        <w:ind w:hanging="360" w:start="720" w:end="0"/>
        <w:rPr>
          <w:rFonts w:ascii="Times New Roman" w:hAnsi="Times New Roman"/>
        </w:rPr>
      </w:pPr>
      <w:r>
        <w:rPr>
          <w:rFonts w:ascii="Times New Roman" w:hAnsi="Times New Roman"/>
        </w:rPr>
        <w:t>High potential for amplification of the results</w:t>
      </w:r>
    </w:p>
    <w:p>
      <w:pPr>
        <w:pStyle w:val="NoSpacing"/>
        <w:numPr>
          <w:ilvl w:val="0"/>
          <w:numId w:val="2"/>
        </w:numPr>
        <w:bidi w:val="0"/>
        <w:ind w:hanging="360" w:start="720" w:end="0"/>
        <w:rPr>
          <w:rFonts w:ascii="Times New Roman" w:hAnsi="Times New Roman"/>
        </w:rPr>
      </w:pPr>
      <w:r>
        <w:rPr>
          <w:rFonts w:ascii="Times New Roman" w:hAnsi="Times New Roman"/>
        </w:rPr>
        <w:t>Scalable regionally or nationally with substantial socio-economic dividends</w:t>
      </w:r>
    </w:p>
    <w:p>
      <w:pPr>
        <w:pStyle w:val="NoSpacing"/>
        <w:numPr>
          <w:ilvl w:val="0"/>
          <w:numId w:val="2"/>
        </w:numPr>
        <w:bidi w:val="0"/>
        <w:ind w:hanging="360" w:start="720" w:end="0"/>
        <w:rPr>
          <w:rFonts w:ascii="Times New Roman" w:hAnsi="Times New Roman"/>
        </w:rPr>
      </w:pPr>
      <w:r>
        <w:rPr>
          <w:rFonts w:ascii="Times New Roman" w:hAnsi="Times New Roman"/>
        </w:rPr>
        <w:t>Products or models with capacity to drive industry either in the private-for-profit (Commercializable products) or public/non-profit domains (Socially scalable)</w:t>
      </w:r>
    </w:p>
    <w:p>
      <w:pPr>
        <w:pStyle w:val="NoSpacing"/>
        <w:numPr>
          <w:ilvl w:val="0"/>
          <w:numId w:val="2"/>
        </w:numPr>
        <w:bidi w:val="0"/>
        <w:ind w:hanging="360" w:start="720" w:end="0"/>
        <w:rPr>
          <w:rFonts w:ascii="Times New Roman" w:hAnsi="Times New Roman"/>
        </w:rPr>
      </w:pPr>
      <w:r>
        <w:rPr>
          <w:rFonts w:ascii="Times New Roman" w:hAnsi="Times New Roman"/>
        </w:rPr>
        <w:t xml:space="preserve">High accountability to stakeholders and a clear commitment to change lives by the end of the project </w:t>
      </w:r>
    </w:p>
    <w:p>
      <w:pPr>
        <w:pStyle w:val="NoSpacing"/>
        <w:numPr>
          <w:ilvl w:val="0"/>
          <w:numId w:val="2"/>
        </w:numPr>
        <w:bidi w:val="0"/>
        <w:ind w:hanging="360" w:start="720" w:end="0"/>
        <w:rPr>
          <w:rFonts w:ascii="Times New Roman" w:hAnsi="Times New Roman"/>
        </w:rPr>
      </w:pPr>
      <w:r>
        <w:rPr>
          <w:rFonts w:ascii="Times New Roman" w:hAnsi="Times New Roman"/>
        </w:rPr>
        <w:t>Demonstrate ability to quickly attract funding beyond the university to facilitate sustainable scale</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 xml:space="preserve">Illustrative examples of highly transformative projects: </w:t>
      </w:r>
      <w:r>
        <w:rPr>
          <w:rFonts w:ascii="Times New Roman" w:hAnsi="Times New Roman"/>
        </w:rPr>
        <w:t xml:space="preserve">Examples of the sorts of projects we are looking for are listed below </w:t>
      </w:r>
      <w:r>
        <w:rPr>
          <w:rFonts w:ascii="Times New Roman" w:hAnsi="Times New Roman"/>
          <w:i/>
          <w:iCs/>
        </w:rPr>
        <w:t>(please note that these are only illustrative examples and should not be interpreted as the only ideas required):</w:t>
      </w:r>
    </w:p>
    <w:p>
      <w:pPr>
        <w:pStyle w:val="NoSpacing"/>
        <w:numPr>
          <w:ilvl w:val="0"/>
          <w:numId w:val="3"/>
        </w:numPr>
        <w:bidi w:val="0"/>
        <w:ind w:hanging="360" w:start="720" w:end="0"/>
        <w:rPr>
          <w:rFonts w:ascii="Times New Roman" w:hAnsi="Times New Roman"/>
        </w:rPr>
      </w:pPr>
      <w:r>
        <w:rPr>
          <w:rFonts w:ascii="Times New Roman" w:hAnsi="Times New Roman"/>
        </w:rPr>
        <w:t>A new crop variety that has the potential to transform the economic prospects of communities</w:t>
      </w:r>
    </w:p>
    <w:p>
      <w:pPr>
        <w:pStyle w:val="NoSpacing"/>
        <w:numPr>
          <w:ilvl w:val="0"/>
          <w:numId w:val="3"/>
        </w:numPr>
        <w:bidi w:val="0"/>
        <w:ind w:hanging="360" w:start="720" w:end="0"/>
        <w:rPr>
          <w:rFonts w:ascii="Times New Roman" w:hAnsi="Times New Roman"/>
        </w:rPr>
      </w:pPr>
      <w:r>
        <w:rPr>
          <w:rFonts w:ascii="Times New Roman" w:hAnsi="Times New Roman"/>
        </w:rPr>
        <w:t>A new screening tool that if scaled, can ave substantial impact on early identification of disease for prompt treatment</w:t>
      </w:r>
    </w:p>
    <w:p>
      <w:pPr>
        <w:pStyle w:val="NoSpacing"/>
        <w:numPr>
          <w:ilvl w:val="0"/>
          <w:numId w:val="3"/>
        </w:numPr>
        <w:bidi w:val="0"/>
        <w:ind w:hanging="360" w:start="720" w:end="0"/>
        <w:rPr>
          <w:rFonts w:ascii="Times New Roman" w:hAnsi="Times New Roman"/>
        </w:rPr>
      </w:pPr>
      <w:r>
        <w:rPr>
          <w:rFonts w:ascii="Times New Roman" w:hAnsi="Times New Roman"/>
        </w:rPr>
        <w:t>A novel approach to expand the tax base to the unreached/informal sectors with clear pathways to impact</w:t>
      </w:r>
    </w:p>
    <w:p>
      <w:pPr>
        <w:pStyle w:val="NoSpacing"/>
        <w:numPr>
          <w:ilvl w:val="0"/>
          <w:numId w:val="3"/>
        </w:numPr>
        <w:bidi w:val="0"/>
        <w:ind w:hanging="360" w:start="720" w:end="0"/>
        <w:rPr>
          <w:rFonts w:ascii="Times New Roman" w:hAnsi="Times New Roman"/>
        </w:rPr>
      </w:pPr>
      <w:r>
        <w:rPr>
          <w:rFonts w:ascii="Times New Roman" w:hAnsi="Times New Roman"/>
        </w:rPr>
        <w:t xml:space="preserve">Scaling a proven approach to addressing the Learning and Skills Crisis, with clear measurable results and not the usual </w:t>
      </w:r>
    </w:p>
    <w:p>
      <w:pPr>
        <w:pStyle w:val="NoSpacing"/>
        <w:numPr>
          <w:ilvl w:val="0"/>
          <w:numId w:val="3"/>
        </w:numPr>
        <w:bidi w:val="0"/>
        <w:ind w:hanging="360" w:start="720" w:end="0"/>
        <w:rPr>
          <w:rFonts w:ascii="Times New Roman" w:hAnsi="Times New Roman"/>
        </w:rPr>
      </w:pPr>
      <w:r>
        <w:rPr>
          <w:rFonts w:ascii="Times New Roman" w:hAnsi="Times New Roman"/>
        </w:rPr>
        <w:t>A new medical or nutraceutical product that transcends existing treatments in combating disease</w:t>
      </w:r>
    </w:p>
    <w:p>
      <w:pPr>
        <w:pStyle w:val="NoSpacing"/>
        <w:numPr>
          <w:ilvl w:val="0"/>
          <w:numId w:val="3"/>
        </w:numPr>
        <w:bidi w:val="0"/>
        <w:ind w:hanging="360" w:start="720" w:end="0"/>
        <w:rPr>
          <w:rFonts w:ascii="Times New Roman" w:hAnsi="Times New Roman"/>
        </w:rPr>
      </w:pPr>
      <w:r>
        <w:rPr>
          <w:rFonts w:ascii="Times New Roman" w:hAnsi="Times New Roman"/>
        </w:rPr>
        <w:t>Development of a new engineering-based industrial or agricultural device that is highly commercializable, ready to scale and solves a key need</w:t>
      </w:r>
    </w:p>
    <w:p>
      <w:pPr>
        <w:pStyle w:val="NoSpacing"/>
        <w:numPr>
          <w:ilvl w:val="0"/>
          <w:numId w:val="3"/>
        </w:numPr>
        <w:bidi w:val="0"/>
        <w:ind w:hanging="360" w:start="720" w:end="0"/>
        <w:rPr>
          <w:rFonts w:ascii="Times New Roman" w:hAnsi="Times New Roman"/>
        </w:rPr>
      </w:pPr>
      <w:r>
        <w:rPr>
          <w:rFonts w:ascii="Times New Roman" w:hAnsi="Times New Roman"/>
        </w:rPr>
        <w:t>A game changing value chain that rapidly increases the economic fortunes of multitudes of people in the chain</w:t>
      </w:r>
    </w:p>
    <w:p>
      <w:pPr>
        <w:pStyle w:val="NoSpacing"/>
        <w:numPr>
          <w:ilvl w:val="0"/>
          <w:numId w:val="3"/>
        </w:numPr>
        <w:bidi w:val="0"/>
        <w:ind w:hanging="360" w:start="720" w:end="0"/>
        <w:rPr>
          <w:rFonts w:ascii="Times New Roman" w:hAnsi="Times New Roman"/>
        </w:rPr>
      </w:pPr>
      <w:r>
        <w:rPr>
          <w:rFonts w:ascii="Times New Roman" w:hAnsi="Times New Roman"/>
        </w:rPr>
        <w:t>A robust form of enterprise that leverages existing local knowledge/technologies (e.g. Jua kali/the artisanal enterprise in Katwe) to substantially increase their efficiency and amplifies them in the market</w:t>
      </w:r>
    </w:p>
    <w:p>
      <w:pPr>
        <w:pStyle w:val="NoSpacing"/>
        <w:numPr>
          <w:ilvl w:val="0"/>
          <w:numId w:val="3"/>
        </w:numPr>
        <w:bidi w:val="0"/>
        <w:ind w:hanging="360" w:start="720" w:end="0"/>
        <w:rPr>
          <w:rFonts w:ascii="Times New Roman" w:hAnsi="Times New Roman"/>
        </w:rPr>
      </w:pPr>
      <w:r>
        <w:rPr>
          <w:rFonts w:ascii="Times New Roman" w:hAnsi="Times New Roman"/>
        </w:rPr>
        <w:t>A very effective model of poverty eradication that is rapidly scalable to a vulnerable community</w:t>
      </w:r>
    </w:p>
    <w:p>
      <w:pPr>
        <w:pStyle w:val="NoSpacing"/>
        <w:numPr>
          <w:ilvl w:val="0"/>
          <w:numId w:val="3"/>
        </w:numPr>
        <w:bidi w:val="0"/>
        <w:ind w:hanging="360" w:start="720" w:end="0"/>
        <w:rPr>
          <w:rFonts w:ascii="Times New Roman" w:hAnsi="Times New Roman"/>
        </w:rPr>
      </w:pPr>
      <w:r>
        <w:rPr>
          <w:rFonts w:ascii="Times New Roman" w:hAnsi="Times New Roman"/>
        </w:rPr>
        <w:t>A proven model for amplifying the impact of poverty eradication programs like PDM/Youth Livelihoods</w:t>
      </w:r>
    </w:p>
    <w:p>
      <w:pPr>
        <w:pStyle w:val="NoSpacing"/>
        <w:numPr>
          <w:ilvl w:val="0"/>
          <w:numId w:val="3"/>
        </w:numPr>
        <w:bidi w:val="0"/>
        <w:ind w:hanging="360" w:start="720" w:end="0"/>
        <w:rPr>
          <w:rFonts w:ascii="Times New Roman" w:hAnsi="Times New Roman"/>
        </w:rPr>
      </w:pPr>
      <w:r>
        <w:rPr>
          <w:rFonts w:ascii="Times New Roman" w:hAnsi="Times New Roman"/>
        </w:rPr>
        <w:t>A big-data/machine learning application that substantially increases the efficiency of service delivery on a massive scale</w:t>
      </w:r>
    </w:p>
    <w:p>
      <w:pPr>
        <w:pStyle w:val="NoSpacing"/>
        <w:numPr>
          <w:ilvl w:val="0"/>
          <w:numId w:val="3"/>
        </w:numPr>
        <w:bidi w:val="0"/>
        <w:ind w:hanging="360" w:start="720" w:end="0"/>
        <w:rPr>
          <w:rFonts w:ascii="Times New Roman" w:hAnsi="Times New Roman"/>
        </w:rPr>
      </w:pPr>
      <w:r>
        <w:rPr>
          <w:rFonts w:ascii="Times New Roman" w:hAnsi="Times New Roman"/>
        </w:rPr>
        <w:t>A clinical decision support tool that dramatically improves patient management in very busy critical care facilities</w:t>
      </w:r>
    </w:p>
    <w:p>
      <w:pPr>
        <w:pStyle w:val="NoSpacing"/>
        <w:numPr>
          <w:ilvl w:val="0"/>
          <w:numId w:val="3"/>
        </w:numPr>
        <w:bidi w:val="0"/>
        <w:ind w:hanging="360" w:start="720" w:end="0"/>
        <w:rPr>
          <w:rFonts w:ascii="Times New Roman" w:hAnsi="Times New Roman"/>
        </w:rPr>
      </w:pPr>
      <w:r>
        <w:rPr>
          <w:rFonts w:ascii="Times New Roman" w:hAnsi="Times New Roman"/>
        </w:rPr>
        <w:t>A model for rapidly increasing tourism in the country</w:t>
      </w:r>
    </w:p>
    <w:p>
      <w:pPr>
        <w:pStyle w:val="NoSpacing"/>
        <w:numPr>
          <w:ilvl w:val="0"/>
          <w:numId w:val="3"/>
        </w:numPr>
        <w:bidi w:val="0"/>
        <w:ind w:hanging="360" w:start="720" w:end="0"/>
        <w:rPr>
          <w:rFonts w:ascii="Times New Roman" w:hAnsi="Times New Roman"/>
        </w:rPr>
      </w:pPr>
      <w:r>
        <w:rPr>
          <w:rFonts w:ascii="Times New Roman" w:hAnsi="Times New Roman"/>
        </w:rPr>
        <w:t>A revolutionary industrial process that markedly increases the efficiency of production</w:t>
      </w:r>
    </w:p>
    <w:p>
      <w:pPr>
        <w:pStyle w:val="NoSpacing"/>
        <w:numPr>
          <w:ilvl w:val="0"/>
          <w:numId w:val="3"/>
        </w:numPr>
        <w:bidi w:val="0"/>
        <w:ind w:hanging="360" w:start="720" w:end="0"/>
        <w:rPr>
          <w:rFonts w:ascii="Times New Roman" w:hAnsi="Times New Roman"/>
        </w:rPr>
      </w:pPr>
      <w:r>
        <w:rPr>
          <w:rFonts w:ascii="Times New Roman" w:hAnsi="Times New Roman"/>
        </w:rPr>
        <w:t>Etc.</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rPr>
      </w:pPr>
      <w:r>
        <w:rPr>
          <w:rFonts w:ascii="Times New Roman" w:hAnsi="Times New Roman"/>
          <w:b/>
          <w:bCs/>
        </w:rPr>
        <w:t xml:space="preserve">Types of projects that MakRIF will not fund: </w:t>
      </w:r>
      <w:r>
        <w:rPr>
          <w:rFonts w:ascii="Times New Roman" w:hAnsi="Times New Roman"/>
        </w:rPr>
        <w:t>Examples of projects that will not be funded include:</w:t>
      </w:r>
    </w:p>
    <w:p>
      <w:pPr>
        <w:pStyle w:val="NoSpacing"/>
        <w:numPr>
          <w:ilvl w:val="0"/>
          <w:numId w:val="4"/>
        </w:numPr>
        <w:bidi w:val="0"/>
        <w:ind w:hanging="360" w:start="720" w:end="0"/>
        <w:rPr>
          <w:rFonts w:ascii="Times New Roman" w:hAnsi="Times New Roman"/>
        </w:rPr>
      </w:pPr>
      <w:r>
        <w:rPr>
          <w:rFonts w:ascii="Times New Roman" w:hAnsi="Times New Roman"/>
        </w:rPr>
        <w:t>Research that is used to solely generate theory</w:t>
      </w:r>
    </w:p>
    <w:p>
      <w:pPr>
        <w:pStyle w:val="NoSpacing"/>
        <w:numPr>
          <w:ilvl w:val="0"/>
          <w:numId w:val="4"/>
        </w:numPr>
        <w:bidi w:val="0"/>
        <w:ind w:hanging="360" w:start="720" w:end="0"/>
        <w:rPr>
          <w:rFonts w:ascii="Times New Roman" w:hAnsi="Times New Roman"/>
        </w:rPr>
      </w:pPr>
      <w:r>
        <w:rPr>
          <w:rFonts w:ascii="Times New Roman" w:hAnsi="Times New Roman"/>
        </w:rPr>
        <w:t>Research to provide descriptive information of a phenomenon without a clear link to application</w:t>
      </w:r>
    </w:p>
    <w:p>
      <w:pPr>
        <w:pStyle w:val="NoSpacing"/>
        <w:numPr>
          <w:ilvl w:val="0"/>
          <w:numId w:val="4"/>
        </w:numPr>
        <w:bidi w:val="0"/>
        <w:ind w:hanging="360" w:start="720" w:end="0"/>
        <w:rPr>
          <w:rFonts w:ascii="Times New Roman" w:hAnsi="Times New Roman"/>
        </w:rPr>
      </w:pPr>
      <w:r>
        <w:rPr>
          <w:rFonts w:ascii="Times New Roman" w:hAnsi="Times New Roman"/>
        </w:rPr>
        <w:t>Research to understand factors associated with a phenomenon, without a clear link to application and scaling</w:t>
      </w:r>
    </w:p>
    <w:p>
      <w:pPr>
        <w:pStyle w:val="NoSpacing"/>
        <w:numPr>
          <w:ilvl w:val="0"/>
          <w:numId w:val="4"/>
        </w:numPr>
        <w:bidi w:val="0"/>
        <w:ind w:hanging="360" w:start="720" w:end="0"/>
        <w:rPr>
          <w:rFonts w:ascii="Times New Roman" w:hAnsi="Times New Roman"/>
        </w:rPr>
      </w:pPr>
      <w:r>
        <w:rPr>
          <w:rFonts w:ascii="Times New Roman" w:hAnsi="Times New Roman"/>
        </w:rPr>
        <w:t>Surveys that only propose policy or program changes but without clear link to scalability and community change</w:t>
      </w:r>
    </w:p>
    <w:p>
      <w:pPr>
        <w:pStyle w:val="NoSpacing"/>
        <w:numPr>
          <w:ilvl w:val="0"/>
          <w:numId w:val="4"/>
        </w:numPr>
        <w:bidi w:val="0"/>
        <w:ind w:hanging="360" w:start="720" w:end="0"/>
        <w:rPr>
          <w:rFonts w:ascii="Times New Roman" w:hAnsi="Times New Roman"/>
        </w:rPr>
      </w:pPr>
      <w:r>
        <w:rPr>
          <w:rFonts w:ascii="Times New Roman" w:hAnsi="Times New Roman"/>
        </w:rPr>
        <w:t>Research that ends at prototype stage without a refined minimum-viable idea/model that is ready for scale</w:t>
      </w:r>
    </w:p>
    <w:p>
      <w:pPr>
        <w:pStyle w:val="NoSpacing"/>
        <w:numPr>
          <w:ilvl w:val="0"/>
          <w:numId w:val="4"/>
        </w:numPr>
        <w:bidi w:val="0"/>
        <w:ind w:hanging="360" w:start="720" w:end="0"/>
        <w:rPr>
          <w:rFonts w:ascii="Times New Roman" w:hAnsi="Times New Roman"/>
        </w:rPr>
      </w:pPr>
      <w:r>
        <w:rPr>
          <w:rFonts w:ascii="Times New Roman" w:hAnsi="Times New Roman"/>
        </w:rPr>
        <w:t>Projects that do not show a very clear and convincing path to visible impact at community or national level</w:t>
      </w:r>
    </w:p>
    <w:p>
      <w:pPr>
        <w:pStyle w:val="NoSpacing"/>
        <w:numPr>
          <w:ilvl w:val="0"/>
          <w:numId w:val="4"/>
        </w:numPr>
        <w:bidi w:val="0"/>
        <w:ind w:hanging="360" w:start="720" w:end="0"/>
        <w:rPr>
          <w:rFonts w:ascii="Times New Roman" w:hAnsi="Times New Roman"/>
        </w:rPr>
      </w:pPr>
      <w:r>
        <w:rPr>
          <w:rFonts w:ascii="Times New Roman" w:hAnsi="Times New Roman"/>
        </w:rPr>
        <w:t>Projects that do not show a very clear and convincing path to generating the resources that will lead them to scale without relying on perpetual grants</w:t>
      </w:r>
    </w:p>
    <w:p>
      <w:pPr>
        <w:pStyle w:val="NoSpacing"/>
        <w:numPr>
          <w:ilvl w:val="0"/>
          <w:numId w:val="4"/>
        </w:numPr>
        <w:bidi w:val="0"/>
        <w:ind w:hanging="360" w:start="720" w:end="0"/>
        <w:rPr>
          <w:rFonts w:ascii="Times New Roman" w:hAnsi="Times New Roman"/>
        </w:rPr>
      </w:pPr>
      <w:r>
        <w:rPr>
          <w:rFonts w:ascii="Times New Roman" w:hAnsi="Times New Roman"/>
        </w:rPr>
        <w:t>Projects that directly implement a missing service in the communities that is supposed to be delivered by government, civil society, NGOs, or private sector service providers, with the sole objective of demonstrating that they can deliver a very good service, but without a clear path to scaling</w:t>
      </w:r>
    </w:p>
    <w:p>
      <w:pPr>
        <w:pStyle w:val="NoSpacing"/>
        <w:numPr>
          <w:ilvl w:val="0"/>
          <w:numId w:val="4"/>
        </w:numPr>
        <w:bidi w:val="0"/>
        <w:ind w:hanging="360" w:start="720" w:end="0"/>
        <w:rPr>
          <w:rFonts w:ascii="Times New Roman" w:hAnsi="Times New Roman"/>
        </w:rPr>
      </w:pPr>
      <w:r>
        <w:rPr>
          <w:rFonts w:ascii="Times New Roman" w:hAnsi="Times New Roman"/>
        </w:rPr>
        <w:t>Projects for one-off training or educating people without a clear model for scaled implementation</w:t>
      </w:r>
    </w:p>
    <w:p>
      <w:pPr>
        <w:pStyle w:val="NoSpacing"/>
        <w:numPr>
          <w:ilvl w:val="0"/>
          <w:numId w:val="4"/>
        </w:numPr>
        <w:bidi w:val="0"/>
        <w:ind w:hanging="360" w:start="720" w:end="0"/>
        <w:rPr>
          <w:rFonts w:ascii="Times New Roman" w:hAnsi="Times New Roman"/>
        </w:rPr>
      </w:pPr>
      <w:r>
        <w:rPr>
          <w:rFonts w:ascii="Times New Roman" w:hAnsi="Times New Roman"/>
        </w:rPr>
        <w:t>Projects that lack potential for visibility</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D. ELIGIBILITY</w:t>
      </w:r>
    </w:p>
    <w:p>
      <w:pPr>
        <w:pStyle w:val="NoSpacing"/>
        <w:bidi w:val="0"/>
        <w:ind w:hanging="0" w:start="0" w:end="0"/>
        <w:rPr>
          <w:rFonts w:ascii="Times New Roman" w:hAnsi="Times New Roman"/>
        </w:rPr>
      </w:pPr>
      <w:r>
        <w:rPr>
          <w:rFonts w:ascii="Times New Roman" w:hAnsi="Times New Roman"/>
        </w:rPr>
        <w:t xml:space="preserve">Applications should be prepared at the College or standalone School level and submitted either the College Principal/Dean of the standalone School or by a senior researcher delegated by the College Principal/Dean of the standalone School. A College/standalone School can only submit one project. Because of the multisectoral/multidisciplinary nature of the development challenges that Uganda faces, MakRIF strongly encourages collaboration between Colleges to submit a joint proposal. Colleges that come together to submit a joint proposal will have an added advantage during the selection process. </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E. SIZE AND NUMBER OF GRANTS</w:t>
      </w:r>
    </w:p>
    <w:p>
      <w:pPr>
        <w:pStyle w:val="NoSpacing"/>
        <w:bidi w:val="0"/>
        <w:ind w:hanging="0" w:start="0" w:end="0"/>
        <w:rPr>
          <w:rFonts w:ascii="Times New Roman" w:hAnsi="Times New Roman"/>
        </w:rPr>
      </w:pPr>
      <w:r>
        <w:rPr>
          <w:rFonts w:ascii="Times New Roman" w:hAnsi="Times New Roman"/>
        </w:rPr>
        <w:t>3-5 College Level Grant projects will be funded this financial year on a competitive basis.</w:t>
      </w:r>
    </w:p>
    <w:p>
      <w:pPr>
        <w:pStyle w:val="NoSpacing"/>
        <w:bidi w:val="0"/>
        <w:ind w:hanging="0" w:start="0" w:end="0"/>
        <w:rPr>
          <w:rFonts w:ascii="Times New Roman" w:hAnsi="Times New Roman"/>
        </w:rPr>
      </w:pPr>
      <w:r>
        <w:rPr>
          <w:rFonts w:ascii="Times New Roman" w:hAnsi="Times New Roman"/>
        </w:rPr>
        <w:t>Projects will receive funding of 200 to 500 million Uganda Shillings in the first year of funding, with the possibility of extension for one additional financial year on condition that a high impact is demonstrated by the end of the first year of funding.</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b/>
          <w:bCs/>
        </w:rPr>
      </w:pPr>
      <w:r>
        <w:rPr>
          <w:rFonts w:ascii="Times New Roman" w:hAnsi="Times New Roman"/>
          <w:b/>
          <w:bCs/>
        </w:rPr>
        <w:t>F. VETTING</w:t>
      </w:r>
    </w:p>
    <w:p>
      <w:pPr>
        <w:pStyle w:val="NoSpacing"/>
        <w:bidi w:val="0"/>
        <w:ind w:hanging="0" w:start="0" w:end="0"/>
        <w:rPr>
          <w:rFonts w:ascii="Times New Roman" w:hAnsi="Times New Roman"/>
        </w:rPr>
      </w:pPr>
      <w:r>
        <w:rPr>
          <w:rFonts w:ascii="Times New Roman" w:hAnsi="Times New Roman"/>
        </w:rPr>
        <w:t>The projects will be vetted by industry experts to determine the most transformative ones that fit the profile of the types of projects that this grant targets to support.</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cs="DengXian Light"/>
          <w:b/>
          <w:bCs/>
        </w:rPr>
      </w:pPr>
      <w:r>
        <w:rPr>
          <w:rFonts w:cs="DengXian Light" w:ascii="Times New Roman" w:hAnsi="Times New Roman"/>
          <w:b/>
          <w:bCs/>
        </w:rPr>
        <w:t>G. SUBMISSION OF A PROPOSAL</w:t>
      </w:r>
    </w:p>
    <w:p>
      <w:pPr>
        <w:pStyle w:val="NoSpacing"/>
        <w:bidi w:val="0"/>
        <w:ind w:hanging="0" w:start="0" w:end="0"/>
        <w:rPr>
          <w:rFonts w:ascii="Times New Roman" w:hAnsi="Times New Roman" w:cs="DengXian Light"/>
        </w:rPr>
      </w:pPr>
      <w:r>
        <w:rPr>
          <w:rFonts w:cs="DengXian Light" w:ascii="Times New Roman" w:hAnsi="Times New Roman"/>
        </w:rPr>
        <w:t xml:space="preserve">Proposals should be submitted to: </w:t>
      </w:r>
      <w:hyperlink r:id="rId4">
        <w:r>
          <w:rPr>
            <w:rStyle w:val="Hyperlink"/>
            <w:rFonts w:eastAsia="Times New Roman" w:cs="DengXian Light" w:ascii="Times New Roman" w:hAnsi="Times New Roman"/>
            <w:lang w:val="en-US" w:eastAsia="zh-CN" w:bidi="ar-SA"/>
          </w:rPr>
          <w:t>http://rif.mak.ac.ug/portal</w:t>
        </w:r>
      </w:hyperlink>
      <w:r>
        <w:rPr>
          <w:rFonts w:cs="DengXian Light" w:ascii="Times New Roman" w:hAnsi="Times New Roman"/>
        </w:rPr>
        <w:t>/, under the High Impact College Level Grants. Applicalicants must fill out the online application template. In filling out the application template, please strictly follow the guidance provided in the grant document regarding the types of ideas that will be funded.</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b/>
        </w:rPr>
      </w:pPr>
      <w:r>
        <w:rPr>
          <w:rFonts w:cs="DengXian Light" w:ascii="Times New Roman" w:hAnsi="Times New Roman"/>
          <w:b/>
        </w:rPr>
        <w:t xml:space="preserve">Budget </w:t>
      </w:r>
    </w:p>
    <w:p>
      <w:pPr>
        <w:pStyle w:val="NoSpacing"/>
        <w:bidi w:val="0"/>
        <w:ind w:hanging="0" w:start="0" w:end="0"/>
        <w:rPr>
          <w:rFonts w:ascii="Times New Roman" w:hAnsi="Times New Roman" w:cs="DengXian Light"/>
        </w:rPr>
      </w:pPr>
      <w:r>
        <w:rPr>
          <w:rFonts w:cs="DengXian Light" w:ascii="Times New Roman" w:hAnsi="Times New Roman"/>
        </w:rPr>
        <w:t>Researchers will prepare a summary budget for their project. Budgets should be submitted in the official currency (Uganda Shillings).  Because these are university funds, academic units (Departments, Schools and Colleges) will not charge institutional overheads to any of the research funds. Budgets should not spread beyond one Financial Year. Projects requiring multi-year implementation should indicate so in the application. However, such projects should only provide a budget for one Financial Year. Multi-year budgets will only be funded to the extent needed for this financial year and within the grant caps indicated for the various award categories. Failure to articulate a one (1) year budget might lead to disqualification. The budgets will include the following sections:</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1.0 Personnel costs</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2.0 Travel</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3.0 Supplies and services</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4.0 Equipment</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5.0 Program activity costs</w:t>
      </w:r>
    </w:p>
    <w:p>
      <w:pPr>
        <w:pStyle w:val="NoSpacing"/>
        <w:numPr>
          <w:ilvl w:val="0"/>
          <w:numId w:val="5"/>
        </w:numPr>
        <w:bidi w:val="0"/>
        <w:ind w:hanging="360" w:start="360" w:end="0"/>
        <w:rPr>
          <w:rFonts w:ascii="Times New Roman" w:hAnsi="Times New Roman" w:cs="DengXian Light"/>
        </w:rPr>
      </w:pPr>
      <w:r>
        <w:rPr>
          <w:rFonts w:cs="DengXian Light" w:ascii="Times New Roman" w:hAnsi="Times New Roman"/>
        </w:rPr>
        <w:t>6.0 Dissemination</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rPr>
      </w:pPr>
      <w:r>
        <w:rPr>
          <w:rFonts w:cs="DengXian Light" w:ascii="Times New Roman" w:hAnsi="Times New Roman"/>
        </w:rPr>
        <w:t xml:space="preserve">Under Personnel costs, applicants should not budget for‘Salaries’for staff who are paid a regular salary by Makerere University or another Government of Uganda institution (whether on permanent or contract terms) as this would constitute double payment. However, such researchers can budget for activity-based’time input or level-of-effort-based’allowances for their additional time input into the project. The latter should be justified by specifying the extra-time demands for each individual involved. </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rPr>
      </w:pPr>
      <w:r>
        <w:rPr>
          <w:rFonts w:cs="DengXian Light" w:ascii="Times New Roman" w:hAnsi="Times New Roman"/>
        </w:rPr>
        <w:t xml:space="preserve">Researchers can budget for salaries for critical project staff that are not paid by Makerere or the Government of Uganda e.g., Project Coordinators, Administrative Assistants, Research Officers etc. Regular Personnel costs excluding field research assistants should </w:t>
      </w:r>
      <w:r>
        <w:rPr>
          <w:rFonts w:cs="DengXian Light" w:ascii="Times New Roman" w:hAnsi="Times New Roman"/>
          <w:b/>
          <w:bCs/>
        </w:rPr>
        <w:t>not exceed 33% of the budget</w:t>
      </w:r>
      <w:r>
        <w:rPr>
          <w:rFonts w:cs="DengXian Light" w:ascii="Times New Roman" w:hAnsi="Times New Roman"/>
        </w:rPr>
        <w:t xml:space="preserve">. Projects that exceed this threshold will be disqualified. Because of the observation that projects without administrative support tend to be the ones most affected by implementation and accountability delays, projects are strongly advised to include Coordination or Administrative support in their teams. Field research assistants (or Data collectors) if needed should not be included under ‘Personnel costs’ but should instead be included under ‘Program Activity Costs’. All salaries and all repetitive allowances will be subject to mandatory statutory deductions at source, to pay the relevant taxes. </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rPr>
      </w:pPr>
      <w:r>
        <w:rPr>
          <w:rFonts w:cs="DengXian Light" w:ascii="Times New Roman" w:hAnsi="Times New Roman"/>
        </w:rPr>
        <w:t xml:space="preserve">In addition to the summary budget, research teams will be required to attach a detailed budget (As an MS Excel attachment) that breaks down all expenditure line items, inclusive of a budget justification that explains the rationale behind the different budget items. Teams that do not attach a detailed budget and budget justification might not be evaluated. The level of efficiency in the budget will be a major evaluation criterion. Lumpsums will not be accepted. To avoid under-budgeting, researchers are strongly advised to consult with the relevant guidance documents provided on the RIF Portal to get standard rates for allowances, procurables and contractable services. Researchers are strongly advised </w:t>
      </w:r>
      <w:r>
        <w:rPr>
          <w:rFonts w:cs="DengXian Light" w:ascii="Times New Roman" w:hAnsi="Times New Roman"/>
          <w:b/>
          <w:bCs/>
        </w:rPr>
        <w:t>not to exceed the maximum amount indicated within the category for which they have applied</w:t>
      </w:r>
      <w:r>
        <w:rPr>
          <w:rFonts w:cs="DengXian Light" w:ascii="Times New Roman" w:hAnsi="Times New Roman"/>
        </w:rPr>
        <w:t>. All projects that exceed their category ceiling will be automatically disqualified.</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b/>
        </w:rPr>
      </w:pPr>
      <w:r>
        <w:rPr>
          <w:rFonts w:cs="DengXian Light" w:ascii="Times New Roman" w:hAnsi="Times New Roman"/>
          <w:b/>
        </w:rPr>
        <w:t>Workplan</w:t>
      </w:r>
    </w:p>
    <w:p>
      <w:pPr>
        <w:pStyle w:val="NoSpacing"/>
        <w:bidi w:val="0"/>
        <w:ind w:hanging="0" w:start="0" w:end="0"/>
        <w:rPr>
          <w:rFonts w:ascii="Times New Roman" w:hAnsi="Times New Roman" w:cs="DengXian Light"/>
        </w:rPr>
      </w:pPr>
      <w:r>
        <w:rPr>
          <w:rFonts w:cs="DengXian Light" w:ascii="Times New Roman" w:hAnsi="Times New Roman"/>
        </w:rPr>
        <w:t>Researchers will provide a list of key milestones for the project clearly demonstrating the deliverables expected at each point. These will be used as the basis for tracking implementation of activities towards project goals and outputs. Given the time implications of the awards, it will be important that researchers commit to a clear time-bound set of deliverables all achievable within one year for the main deliverable targeted during the current period of funding. Failure to articulate a one (1) year plan will imply inability to utilize the grant funds within one (1) year.</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b/>
          <w:bCs/>
        </w:rPr>
      </w:pPr>
      <w:r>
        <w:rPr>
          <w:rFonts w:cs="DengXian Light" w:ascii="Times New Roman" w:hAnsi="Times New Roman"/>
          <w:b/>
          <w:bCs/>
        </w:rPr>
        <w:t>Submission period</w:t>
      </w:r>
    </w:p>
    <w:p>
      <w:pPr>
        <w:pStyle w:val="NoSpacing"/>
        <w:bidi w:val="0"/>
        <w:ind w:hanging="0" w:start="0" w:end="0"/>
        <w:rPr>
          <w:rFonts w:ascii="Times New Roman" w:hAnsi="Times New Roman" w:cs="DengXian Light"/>
        </w:rPr>
      </w:pPr>
      <w:r>
        <w:rPr>
          <w:rFonts w:cs="DengXian Light" w:ascii="Times New Roman" w:hAnsi="Times New Roman"/>
        </w:rPr>
        <w:t xml:space="preserve">This grant opens on </w:t>
      </w:r>
      <w:r>
        <w:rPr>
          <w:rFonts w:cs="DengXian Light" w:ascii="Times New Roman" w:hAnsi="Times New Roman"/>
          <w:b/>
          <w:bCs/>
        </w:rPr>
        <w:t>Thursday 22</w:t>
      </w:r>
      <w:r>
        <w:rPr>
          <w:rFonts w:cs="DengXian Light" w:ascii="Times New Roman" w:hAnsi="Times New Roman"/>
          <w:b/>
          <w:bCs/>
          <w:vertAlign w:val="superscript"/>
        </w:rPr>
        <w:t>nd</w:t>
      </w:r>
      <w:r>
        <w:rPr>
          <w:rFonts w:cs="DengXian Light" w:ascii="Times New Roman" w:hAnsi="Times New Roman"/>
          <w:b/>
          <w:bCs/>
        </w:rPr>
        <w:t xml:space="preserve"> October 2026.</w:t>
      </w:r>
      <w:r>
        <w:rPr>
          <w:rFonts w:cs="DengXian Light" w:ascii="Times New Roman" w:hAnsi="Times New Roman"/>
        </w:rPr>
        <w:t xml:space="preserve">The deadline for submission is Wednesday </w:t>
      </w:r>
      <w:r>
        <w:rPr>
          <w:rFonts w:cs="DengXian Light" w:ascii="Times New Roman" w:hAnsi="Times New Roman"/>
          <w:b/>
          <w:bCs/>
        </w:rPr>
        <w:t>Friday 9</w:t>
      </w:r>
      <w:r>
        <w:rPr>
          <w:rFonts w:cs="DengXian Light" w:ascii="Times New Roman" w:hAnsi="Times New Roman"/>
          <w:b/>
          <w:bCs/>
          <w:vertAlign w:val="superscript"/>
        </w:rPr>
        <w:t>th</w:t>
      </w:r>
      <w:r>
        <w:rPr>
          <w:rFonts w:cs="DengXian Light" w:ascii="Times New Roman" w:hAnsi="Times New Roman"/>
          <w:b/>
          <w:bCs/>
        </w:rPr>
        <w:t xml:space="preserve"> November 2026</w:t>
      </w:r>
      <w:r>
        <w:rPr>
          <w:rFonts w:cs="DengXian Light" w:ascii="Times New Roman" w:hAnsi="Times New Roman"/>
        </w:rPr>
        <w:t>, at 5.00pm. Submissions after the closing date and time will not be accepted.</w:t>
      </w:r>
    </w:p>
    <w:p>
      <w:pPr>
        <w:pStyle w:val="NoSpacing"/>
        <w:bidi w:val="0"/>
        <w:ind w:hanging="0" w:start="0" w:end="0"/>
        <w:rPr>
          <w:rFonts w:ascii="Times New Roman" w:hAnsi="Times New Roman" w:cs="DengXian Light"/>
        </w:rPr>
      </w:pPr>
      <w:r>
        <w:rPr>
          <w:rFonts w:cs="DengXian Light" w:ascii="Times New Roman" w:hAnsi="Times New Roman"/>
        </w:rPr>
      </w:r>
    </w:p>
    <w:p>
      <w:pPr>
        <w:pStyle w:val="NoSpacing"/>
        <w:bidi w:val="0"/>
        <w:ind w:hanging="0" w:start="0" w:end="0"/>
        <w:rPr>
          <w:rFonts w:ascii="Times New Roman" w:hAnsi="Times New Roman" w:cs="DengXian Light"/>
        </w:rPr>
      </w:pPr>
      <w:r>
        <w:rPr>
          <w:rFonts w:cs="DengXian Light" w:ascii="Times New Roman" w:hAnsi="Times New Roman"/>
        </w:rPr>
        <w:t xml:space="preserve">Further inquiries about this grant may be sent to </w:t>
      </w:r>
      <w:hyperlink r:id="rId5">
        <w:r>
          <w:rPr>
            <w:rStyle w:val="Hyperlink"/>
            <w:rFonts w:eastAsia="Times New Roman" w:cs="DengXian Light" w:ascii="Times New Roman" w:hAnsi="Times New Roman"/>
            <w:lang w:val="en-US" w:eastAsia="zh-CN" w:bidi="ar-SA"/>
          </w:rPr>
          <w:t>info</w:t>
        </w:r>
        <w:r>
          <w:rPr>
            <w:rStyle w:val="Hyperlink"/>
            <w:rFonts w:eastAsia="Times New Roman" w:cs="DengXian Light" w:ascii="Times New Roman" w:hAnsi="Times New Roman"/>
            <w:lang w:val="en-US" w:eastAsia="zh-CN" w:bidi="ar-SA"/>
          </w:rPr>
          <w:t>.rif@mak.ac.ug</w:t>
        </w:r>
      </w:hyperlink>
      <w:r>
        <w:rPr>
          <w:rFonts w:cs="DengXian Light" w:ascii="Times New Roman" w:hAnsi="Times New Roman"/>
        </w:rPr>
        <w:t>.</w:t>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rPr>
      </w:pPr>
      <w:r>
        <w:rPr>
          <w:rFonts w:ascii="Times New Roman" w:hAnsi="Times New Roman"/>
        </w:rPr>
      </w:r>
    </w:p>
    <w:p>
      <w:pPr>
        <w:pStyle w:val="NoSpacing"/>
        <w:bidi w:val="0"/>
        <w:ind w:hanging="0" w:start="0" w:end="0"/>
        <w:rPr>
          <w:rFonts w:ascii="Times New Roman" w:hAnsi="Times New Roman"/>
        </w:rPr>
      </w:pPr>
      <w:r>
        <w:rPr>
          <w:rFonts w:ascii="Times New Roman" w:hAnsi="Times New Roman"/>
        </w:rPr>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Times New Roman">
    <w:charset w:val="01" w:characterSet="utf-8"/>
    <w:family w:val="roman"/>
    <w:pitch w:val="variable"/>
  </w:font>
  <w:font w:name="Calibri Light">
    <w:charset w:val="01" w:characterSet="utf-8"/>
    <w:family w:val="roman"/>
    <w:pitch w:val="variable"/>
  </w:font>
  <w:font w:name="Liberation Sans">
    <w:altName w:val="Arial"/>
    <w:charset w:val="01" w:characterSet="utf-8"/>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2"/>
      <w:numFmt w:val="bullet"/>
      <w:lvlText w:val="-"/>
      <w:lvlJc w:val="start"/>
      <w:pPr>
        <w:tabs>
          <w:tab w:val="num" w:pos="0"/>
        </w:tabs>
        <w:ind w:start="72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4">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
    <w:lvl w:ilvl="0">
      <w:start w:val="2"/>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62"/>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ngti SC" w:cs="Arial Unicode MS"/>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bidi w:val="0"/>
      <w:spacing w:lineRule="auto" w:line="259" w:before="0" w:after="160"/>
      <w:jc w:val="start"/>
      <w:textAlignment w:val="auto"/>
    </w:pPr>
    <w:rPr>
      <w:rFonts w:ascii="Calibri" w:hAnsi="Calibri" w:eastAsia="Times New Roman" w:cs="Times New Roman"/>
      <w:color w:val="auto"/>
      <w:kern w:val="2"/>
      <w:sz w:val="22"/>
      <w:szCs w:val="22"/>
      <w:lang w:val="en-GB" w:eastAsia="en-US" w:bidi="ar-SA"/>
    </w:rPr>
  </w:style>
  <w:style w:type="paragraph" w:styleId="Heading1">
    <w:name w:val="heading 1"/>
    <w:basedOn w:val="Normal"/>
    <w:next w:val="Normal"/>
    <w:qFormat/>
    <w:pPr>
      <w:widowControl w:val="false"/>
      <w:spacing w:lineRule="auto" w:line="240" w:before="0" w:after="0"/>
      <w:ind w:hanging="360" w:start="360" w:end="0"/>
      <w:jc w:val="start"/>
      <w:textAlignment w:val="auto"/>
      <w:outlineLvl w:val="0"/>
    </w:pPr>
    <w:rPr>
      <w:rFonts w:ascii="Times New Roman" w:hAnsi="Times New Roman" w:eastAsia="Times New Roman" w:cs="Times New Roman"/>
      <w:kern w:val="2"/>
      <w:sz w:val="56"/>
      <w:szCs w:val="56"/>
      <w:lang w:val="en-GB" w:eastAsia="en-US" w:bidi="ar-SA"/>
    </w:rPr>
  </w:style>
  <w:style w:type="paragraph" w:styleId="Heading2">
    <w:name w:val="heading 2"/>
    <w:basedOn w:val="Normal"/>
    <w:next w:val="Normal"/>
    <w:qFormat/>
    <w:pPr>
      <w:widowControl w:val="false"/>
      <w:spacing w:lineRule="auto" w:line="240" w:before="0" w:after="0"/>
      <w:ind w:hanging="360" w:start="1080" w:end="0"/>
      <w:jc w:val="start"/>
      <w:textAlignment w:val="auto"/>
      <w:outlineLvl w:val="1"/>
    </w:pPr>
    <w:rPr>
      <w:rFonts w:ascii="Times New Roman" w:hAnsi="Times New Roman" w:eastAsia="Times New Roman" w:cs="Times New Roman"/>
      <w:kern w:val="2"/>
      <w:sz w:val="48"/>
      <w:szCs w:val="48"/>
      <w:lang w:val="en-GB" w:eastAsia="en-US" w:bidi="ar-SA"/>
    </w:rPr>
  </w:style>
  <w:style w:type="paragraph" w:styleId="Heading3">
    <w:name w:val="heading 3"/>
    <w:basedOn w:val="Normal"/>
    <w:next w:val="Normal"/>
    <w:qFormat/>
    <w:pPr>
      <w:widowControl w:val="false"/>
      <w:spacing w:lineRule="auto" w:line="240" w:before="0" w:after="0"/>
      <w:ind w:hanging="360" w:start="1800" w:end="0"/>
      <w:jc w:val="start"/>
      <w:textAlignment w:val="auto"/>
      <w:outlineLvl w:val="2"/>
    </w:pPr>
    <w:rPr>
      <w:rFonts w:ascii="Times New Roman" w:hAnsi="Times New Roman" w:eastAsia="Times New Roman" w:cs="Times New Roman"/>
      <w:kern w:val="2"/>
      <w:sz w:val="40"/>
      <w:szCs w:val="40"/>
      <w:lang w:val="en-GB" w:eastAsia="en-US" w:bidi="ar-SA"/>
    </w:rPr>
  </w:style>
  <w:style w:type="paragraph" w:styleId="Heading4">
    <w:name w:val="heading 4"/>
    <w:basedOn w:val="Normal"/>
    <w:next w:val="Normal"/>
    <w:qFormat/>
    <w:pPr>
      <w:widowControl w:val="false"/>
      <w:spacing w:lineRule="auto" w:line="240" w:before="0" w:after="0"/>
      <w:ind w:hanging="360" w:start="2520" w:end="0"/>
      <w:jc w:val="start"/>
      <w:textAlignment w:val="auto"/>
      <w:outlineLvl w:val="3"/>
    </w:pPr>
    <w:rPr>
      <w:rFonts w:ascii="Times New Roman" w:hAnsi="Times New Roman" w:eastAsia="Times New Roman" w:cs="Times New Roman"/>
      <w:kern w:val="2"/>
      <w:sz w:val="22"/>
      <w:szCs w:val="22"/>
      <w:lang w:val="en-GB" w:eastAsia="en-US" w:bidi="ar-SA"/>
    </w:rPr>
  </w:style>
  <w:style w:type="paragraph" w:styleId="Heading5">
    <w:name w:val="heading 5"/>
    <w:basedOn w:val="Normal"/>
    <w:next w:val="Normal"/>
    <w:qFormat/>
    <w:pPr>
      <w:widowControl w:val="false"/>
      <w:spacing w:lineRule="auto" w:line="240" w:before="0" w:after="0"/>
      <w:ind w:hanging="360" w:start="3240" w:end="0"/>
      <w:jc w:val="start"/>
      <w:textAlignment w:val="auto"/>
      <w:outlineLvl w:val="4"/>
    </w:pPr>
    <w:rPr>
      <w:rFonts w:ascii="Times New Roman" w:hAnsi="Times New Roman" w:eastAsia="Times New Roman" w:cs="Times New Roman"/>
      <w:kern w:val="2"/>
      <w:sz w:val="22"/>
      <w:szCs w:val="22"/>
      <w:lang w:val="en-GB" w:eastAsia="en-US" w:bidi="ar-SA"/>
    </w:rPr>
  </w:style>
  <w:style w:type="paragraph" w:styleId="Heading6">
    <w:name w:val="heading 6"/>
    <w:basedOn w:val="Normal"/>
    <w:next w:val="Normal"/>
    <w:qFormat/>
    <w:pPr>
      <w:widowControl w:val="false"/>
      <w:spacing w:lineRule="auto" w:line="240" w:before="0" w:after="0"/>
      <w:ind w:hanging="360" w:start="3960" w:end="0"/>
      <w:jc w:val="start"/>
      <w:textAlignment w:val="auto"/>
      <w:outlineLvl w:val="5"/>
    </w:pPr>
    <w:rPr>
      <w:rFonts w:ascii="Times New Roman" w:hAnsi="Times New Roman" w:eastAsia="Times New Roman" w:cs="Times New Roman"/>
      <w:kern w:val="2"/>
      <w:sz w:val="22"/>
      <w:szCs w:val="22"/>
      <w:lang w:val="en-GB" w:eastAsia="en-US" w:bidi="ar-SA"/>
    </w:rPr>
  </w:style>
  <w:style w:type="paragraph" w:styleId="Heading7">
    <w:name w:val="heading 7"/>
    <w:basedOn w:val="Normal"/>
    <w:next w:val="Normal"/>
    <w:qFormat/>
    <w:pPr>
      <w:widowControl w:val="false"/>
      <w:spacing w:lineRule="auto" w:line="240" w:before="0" w:after="0"/>
      <w:ind w:hanging="360" w:start="4680" w:end="0"/>
      <w:jc w:val="start"/>
      <w:textAlignment w:val="auto"/>
      <w:outlineLvl w:val="6"/>
    </w:pPr>
    <w:rPr>
      <w:rFonts w:ascii="Times New Roman" w:hAnsi="Times New Roman" w:eastAsia="Times New Roman" w:cs="Times New Roman"/>
      <w:kern w:val="2"/>
      <w:sz w:val="22"/>
      <w:szCs w:val="22"/>
      <w:lang w:val="en-GB" w:eastAsia="en-US" w:bidi="ar-SA"/>
    </w:rPr>
  </w:style>
  <w:style w:type="paragraph" w:styleId="Heading8">
    <w:name w:val="heading 8"/>
    <w:basedOn w:val="Normal"/>
    <w:next w:val="Normal"/>
    <w:qFormat/>
    <w:pPr>
      <w:widowControl w:val="false"/>
      <w:spacing w:lineRule="auto" w:line="240" w:before="0" w:after="0"/>
      <w:ind w:hanging="360" w:start="5400" w:end="0"/>
      <w:jc w:val="start"/>
      <w:textAlignment w:val="auto"/>
      <w:outlineLvl w:val="7"/>
    </w:pPr>
    <w:rPr>
      <w:rFonts w:ascii="Times New Roman" w:hAnsi="Times New Roman" w:eastAsia="Times New Roman" w:cs="Times New Roman"/>
      <w:kern w:val="2"/>
      <w:sz w:val="22"/>
      <w:szCs w:val="22"/>
      <w:lang w:val="en-GB" w:eastAsia="en-US" w:bidi="ar-SA"/>
    </w:rPr>
  </w:style>
  <w:style w:type="paragraph" w:styleId="Heading9">
    <w:name w:val="heading 9"/>
    <w:basedOn w:val="Normal"/>
    <w:next w:val="Normal"/>
    <w:qFormat/>
    <w:pPr>
      <w:widowControl w:val="false"/>
      <w:spacing w:lineRule="auto" w:line="240" w:before="0" w:after="0"/>
      <w:ind w:hanging="360" w:start="6120" w:end="0"/>
      <w:jc w:val="start"/>
      <w:textAlignment w:val="auto"/>
      <w:outlineLvl w:val="8"/>
    </w:pPr>
    <w:rPr>
      <w:rFonts w:ascii="Times New Roman" w:hAnsi="Times New Roman" w:eastAsia="Times New Roman" w:cs="Times New Roman"/>
      <w:kern w:val="2"/>
      <w:sz w:val="22"/>
      <w:szCs w:val="22"/>
      <w:lang w:val="en-GB" w:eastAsia="en-US" w:bidi="ar-SA"/>
    </w:rPr>
  </w:style>
  <w:style w:type="character" w:styleId="DefaultParagraphFont">
    <w:name w:val="Default Paragraph Font"/>
    <w:qFormat/>
    <w:rPr/>
  </w:style>
  <w:style w:type="character" w:styleId="Heading1Char">
    <w:name w:val="Heading 1 Char"/>
    <w:basedOn w:val="DefaultParagraphFont"/>
    <w:qFormat/>
    <w:rPr>
      <w:rFonts w:ascii="Calibri Light" w:hAnsi="Calibri Light" w:eastAsia="Times New Roman" w:cs="Times New Roman"/>
      <w:b/>
      <w:bCs/>
      <w:kern w:val="2"/>
      <w:sz w:val="32"/>
      <w:szCs w:val="32"/>
    </w:rPr>
  </w:style>
  <w:style w:type="character" w:styleId="Heading2Char">
    <w:name w:val="Heading 2 Char"/>
    <w:basedOn w:val="DefaultParagraphFont"/>
    <w:qFormat/>
    <w:rPr>
      <w:rFonts w:ascii="Calibri Light" w:hAnsi="Calibri Light" w:eastAsia="Times New Roman" w:cs="Times New Roman"/>
      <w:b/>
      <w:bCs/>
      <w:i/>
      <w:iCs/>
      <w:sz w:val="28"/>
      <w:szCs w:val="28"/>
    </w:rPr>
  </w:style>
  <w:style w:type="character" w:styleId="Heading3Char">
    <w:name w:val="Heading 3 Char"/>
    <w:basedOn w:val="DefaultParagraphFont"/>
    <w:qFormat/>
    <w:rPr>
      <w:rFonts w:ascii="Calibri Light" w:hAnsi="Calibri Light" w:eastAsia="Times New Roman" w:cs="Times New Roman"/>
      <w:b/>
      <w:bCs/>
      <w:sz w:val="26"/>
      <w:szCs w:val="26"/>
    </w:rPr>
  </w:style>
  <w:style w:type="character" w:styleId="Heading4Char">
    <w:name w:val="Heading 4 Char"/>
    <w:basedOn w:val="DefaultParagraphFont"/>
    <w:qFormat/>
    <w:rPr>
      <w:rFonts w:cs="Times New Roman"/>
      <w:b/>
      <w:bCs/>
      <w:sz w:val="28"/>
      <w:szCs w:val="28"/>
    </w:rPr>
  </w:style>
  <w:style w:type="character" w:styleId="Heading5Char">
    <w:name w:val="Heading 5 Char"/>
    <w:basedOn w:val="DefaultParagraphFont"/>
    <w:qFormat/>
    <w:rPr>
      <w:rFonts w:cs="Times New Roman"/>
      <w:b/>
      <w:bCs/>
      <w:i/>
      <w:iCs/>
      <w:sz w:val="26"/>
      <w:szCs w:val="26"/>
    </w:rPr>
  </w:style>
  <w:style w:type="character" w:styleId="Heading6Char">
    <w:name w:val="Heading 6 Char"/>
    <w:basedOn w:val="DefaultParagraphFont"/>
    <w:qFormat/>
    <w:rPr>
      <w:rFonts w:cs="Times New Roman"/>
      <w:b/>
      <w:bCs/>
      <w:sz w:val="22"/>
      <w:szCs w:val="22"/>
    </w:rPr>
  </w:style>
  <w:style w:type="character" w:styleId="Heading7Char">
    <w:name w:val="Heading 7 Char"/>
    <w:basedOn w:val="DefaultParagraphFont"/>
    <w:qFormat/>
    <w:rPr>
      <w:rFonts w:cs="Times New Roman"/>
    </w:rPr>
  </w:style>
  <w:style w:type="character" w:styleId="Heading8Char">
    <w:name w:val="Heading 8 Char"/>
    <w:basedOn w:val="DefaultParagraphFont"/>
    <w:qFormat/>
    <w:rPr>
      <w:rFonts w:cs="Times New Roman"/>
      <w:i/>
      <w:iCs/>
    </w:rPr>
  </w:style>
  <w:style w:type="character" w:styleId="Heading9Char">
    <w:name w:val="Heading 9 Char"/>
    <w:basedOn w:val="DefaultParagraphFont"/>
    <w:qFormat/>
    <w:rPr>
      <w:rFonts w:ascii="Calibri Light" w:hAnsi="Calibri Light" w:eastAsia="Times New Roman" w:cs="Times New Roman"/>
      <w:sz w:val="22"/>
      <w:szCs w:val="22"/>
    </w:rPr>
  </w:style>
  <w:style w:type="character" w:styleId="Hyperlink">
    <w:name w:val="Hyperlink"/>
    <w:basedOn w:val="DefaultParagraphFont"/>
    <w:rPr>
      <w:rFonts w:cs="Times New Roman"/>
      <w:color w:val="0563C1"/>
      <w:u w:val="single"/>
    </w:rPr>
  </w:style>
  <w:style w:type="character" w:styleId="UnresolvedMention">
    <w:name w:val="Unresolved Mention"/>
    <w:basedOn w:val="DefaultParagraphFont"/>
    <w:qFormat/>
    <w:rPr>
      <w:rFonts w:cs="Times New Roman"/>
      <w:color w:val="605E5C"/>
      <w:shd w:fill="E1DFDD" w:val="clear"/>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NormalTable">
    <w:name w:val="Normal Table"/>
    <w:qFormat/>
    <w:pPr>
      <w:widowControl/>
      <w:bidi w:val="0"/>
      <w:spacing w:lineRule="auto" w:line="278" w:before="0" w:after="160"/>
      <w:jc w:val="start"/>
      <w:textAlignment w:val="auto"/>
    </w:pPr>
    <w:rPr>
      <w:rFonts w:ascii="Calibri" w:hAnsi="Calibri" w:eastAsia="Times New Roman" w:cs="Times New Roman"/>
      <w:color w:val="auto"/>
      <w:kern w:val="2"/>
      <w:sz w:val="24"/>
      <w:szCs w:val="24"/>
      <w:lang w:val="en-GB" w:eastAsia="en-GB" w:bidi="ar-SA"/>
    </w:rPr>
  </w:style>
  <w:style w:type="paragraph" w:styleId="NoSpacing">
    <w:name w:val="No Spacing"/>
    <w:qFormat/>
    <w:pPr>
      <w:widowControl/>
      <w:bidi w:val="0"/>
      <w:jc w:val="start"/>
      <w:textAlignment w:val="auto"/>
    </w:pPr>
    <w:rPr>
      <w:rFonts w:ascii="Calibri" w:hAnsi="Calibri" w:eastAsia="Times New Roman" w:cs="Times New Roman"/>
      <w:color w:val="auto"/>
      <w:kern w:val="2"/>
      <w:sz w:val="24"/>
      <w:szCs w:val="24"/>
      <w:lang w:val="en-US" w:eastAsia="zh-CN" w:bidi="ar-SA"/>
    </w:rPr>
  </w:style>
  <w:style w:type="paragraph" w:styleId="TableGrid">
    <w:name w:val="Table Grid"/>
    <w:basedOn w:val="NormalTable"/>
    <w:qFormat/>
    <w:pPr>
      <w:widowControl/>
      <w:pBdr/>
      <w:spacing w:lineRule="auto" w:line="240" w:before="0" w:after="0"/>
      <w:ind w:hanging="0" w:start="0" w:end="0"/>
      <w:jc w:val="start"/>
      <w:textAlignment w:val="auto"/>
    </w:pPr>
    <w:rPr>
      <w:rFonts w:ascii="Calibri" w:hAnsi="Calibri" w:eastAsia="Times New Roman" w:cs="Times New Roman"/>
      <w:sz w:val="22"/>
      <w:szCs w:val="22"/>
      <w:lang w:val="en-GB"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hyperlink" Target="http://rif.mak.ac.ug/portal" TargetMode="External"/><Relationship Id="rId5" Type="http://schemas.openxmlformats.org/officeDocument/2006/relationships/hyperlink" Target="mailto:info.rif@mak.ac.ug"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LibreOffice/26.2.5.2$MacOSX_AARCH64 LibreOffice_project/cd7284b4cbbfeb507e630c1aac019f4157393acb</Application>
  <AppVersion>15.0000</AppVersion>
  <Pages>99</Pages>
  <Words>2382</Words>
  <Characters>15930</Characters>
  <CharactersWithSpaces>13579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2026-10-10T09:33:00Z</dcterms:created>
  <dc:creator/>
  <dc:description/>
  <dc:language>en-GB</dc:language>
  <cp:lastModifiedBy/>
  <dcterms:modified xsi:type="dcterms:W3CDTF">2026-10-22T22:37:00Z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Wilson Abigaba</vt:lpwstr>
  </property>
</Properties>
</file>